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2EE18" w14:textId="1C79AFF9" w:rsidR="00B11613" w:rsidRPr="00AB3F07" w:rsidRDefault="00B11613" w:rsidP="00A708CA">
      <w:pPr>
        <w:rPr>
          <w:b/>
          <w:bCs/>
        </w:rPr>
      </w:pPr>
      <w:r w:rsidRPr="00AB3F07">
        <w:rPr>
          <w:b/>
          <w:bCs/>
        </w:rPr>
        <w:t>NCD Alliance Response</w:t>
      </w:r>
      <w:r w:rsidRPr="00AB3F07">
        <w:rPr>
          <w:b/>
          <w:bCs/>
        </w:rPr>
        <w:br/>
        <w:t>Proposal for a joint process to support reforms of the global health architecture</w:t>
      </w:r>
      <w:r w:rsidRPr="00AB3F07">
        <w:rPr>
          <w:b/>
          <w:bCs/>
        </w:rPr>
        <w:br/>
        <w:t>8 May 2026</w:t>
      </w:r>
      <w:r w:rsidRPr="00AB3F07">
        <w:rPr>
          <w:b/>
          <w:bCs/>
        </w:rPr>
        <w:br/>
      </w:r>
    </w:p>
    <w:p w14:paraId="326BD4A2" w14:textId="4333292B" w:rsidR="00A708CA" w:rsidRPr="00A708CA" w:rsidRDefault="00A708CA" w:rsidP="00A708CA">
      <w:pPr>
        <w:jc w:val="both"/>
      </w:pPr>
      <w:r w:rsidRPr="00A708CA">
        <w:rPr>
          <w:lang w:val="en-GB"/>
        </w:rPr>
        <w:t>The Director-General’s report </w:t>
      </w:r>
      <w:hyperlink r:id="rId10" w:tgtFrame="_blank" w:history="1">
        <w:r w:rsidRPr="00A708CA">
          <w:rPr>
            <w:rStyle w:val="Hyperlink"/>
            <w:lang w:val="en-GB"/>
          </w:rPr>
          <w:t>(A79/24)</w:t>
        </w:r>
      </w:hyperlink>
      <w:r w:rsidRPr="00A708CA">
        <w:rPr>
          <w:lang w:val="en-GB"/>
        </w:rPr>
        <w:t> examines growing pressures on the global health architecture (GHA) arising from changing disease burdens and health risks, rapidly evolving science, AI and digital technologies, contracting financing landscape, and increasing complexity and fragmentation in the range of health actors involved. It situates these challenges alongside ongoing reform efforts—including the Lusaka Agenda, reforms within major global health entities (Gavi, Global Fund, UNAIDS, UNICEF, UNFPA, and WHO), and the UN80 Initiative to modernize the UN system. WHO’s active engagement across these processes is highlighted, noting implications for its role in coordinating action across humanitarian and development domains. The report underscores the need for a coherent,</w:t>
      </w:r>
      <w:r>
        <w:rPr>
          <w:lang w:val="en-GB"/>
        </w:rPr>
        <w:t xml:space="preserve"> </w:t>
      </w:r>
      <w:r w:rsidRPr="00A708CA">
        <w:rPr>
          <w:lang w:val="en-GB"/>
        </w:rPr>
        <w:t>equitable, and accountable GHA with sustainable financing, reduced duplication, and stronger country leadership. It proposes that the WHO host a joint process in 2026 to</w:t>
      </w:r>
      <w:r>
        <w:rPr>
          <w:lang w:val="en-GB"/>
        </w:rPr>
        <w:t xml:space="preserve"> </w:t>
      </w:r>
      <w:r w:rsidRPr="00A708CA">
        <w:rPr>
          <w:lang w:val="en-GB"/>
        </w:rPr>
        <w:t>support</w:t>
      </w:r>
      <w:r>
        <w:rPr>
          <w:lang w:val="en-GB"/>
        </w:rPr>
        <w:t xml:space="preserve"> </w:t>
      </w:r>
      <w:r w:rsidRPr="00A708CA">
        <w:rPr>
          <w:lang w:val="en-GB"/>
        </w:rPr>
        <w:t>the transformation of GHA to better respond to shifts required to meet current challenges. </w:t>
      </w:r>
      <w:r w:rsidRPr="00A708CA">
        <w:t> </w:t>
      </w:r>
    </w:p>
    <w:p w14:paraId="543BDDE4" w14:textId="7FD62149" w:rsidR="00A708CA" w:rsidRPr="00A708CA" w:rsidRDefault="00A708CA" w:rsidP="00A708CA">
      <w:pPr>
        <w:jc w:val="both"/>
      </w:pPr>
      <w:r w:rsidRPr="00A708CA">
        <w:rPr>
          <w:lang w:val="en-GB"/>
        </w:rPr>
        <w:t>Civil society organizations, communities, and people living with health conditions are essential to effective reform of the global health architecture, as they are most affected by policy decisions and are therefore instrumental in translating global commitments into people-centred action at the country level, while playing an active role in ensuring accountability. Meaningful CSO and impacted community engagement strengthen legitimacy, transparency, and implementation of reforms, particularly in a context of shrinking resources and competing priorities. We urge Member States to proactively support the meaningful engagement of civil society and people living with health conditions in the reform process. </w:t>
      </w:r>
      <w:r w:rsidRPr="00A708CA">
        <w:t> </w:t>
      </w:r>
    </w:p>
    <w:p w14:paraId="30974CCA" w14:textId="3B0E29D4" w:rsidR="00A708CA" w:rsidRPr="00A708CA" w:rsidRDefault="00A708CA" w:rsidP="00A708CA">
      <w:pPr>
        <w:jc w:val="both"/>
      </w:pPr>
      <w:r w:rsidRPr="00A708CA">
        <w:rPr>
          <w:lang w:val="en-GB"/>
        </w:rPr>
        <w:t>NCD Alliance is part of the </w:t>
      </w:r>
      <w:hyperlink r:id="rId11" w:tgtFrame="_blank" w:history="1">
        <w:r w:rsidRPr="00A708CA">
          <w:rPr>
            <w:rStyle w:val="Hyperlink"/>
            <w:lang w:val="en-GB"/>
          </w:rPr>
          <w:t>HEAR-CSO</w:t>
        </w:r>
      </w:hyperlink>
      <w:r w:rsidRPr="00A708CA">
        <w:rPr>
          <w:lang w:val="en-GB"/>
        </w:rPr>
        <w:t> consortium, that is providing a coordinated platform for civil society to engage constructively in global health architecture reform, advocate for equity and rights-based approaches, and ensure that reform processes remain grounded in UHC, social justice, and the needs of communities.</w:t>
      </w:r>
      <w:r w:rsidRPr="00A708CA">
        <w:t> </w:t>
      </w:r>
    </w:p>
    <w:p w14:paraId="6EA206FB" w14:textId="587EDFCC" w:rsidR="00A708CA" w:rsidRPr="00A708CA" w:rsidRDefault="00A708CA" w:rsidP="00A708CA">
      <w:pPr>
        <w:jc w:val="both"/>
      </w:pPr>
      <w:r w:rsidRPr="00A708CA">
        <w:rPr>
          <w:lang w:val="en-GB"/>
        </w:rPr>
        <w:t>NCDs account for the largest share of the global burden of disease and must be addressed to achieve UHC. In a context of shrinking resources and GHA reform, the integration of NCD prevention and care is essential to effectively address these main drivers of morbidity, mortality,</w:t>
      </w:r>
      <w:r>
        <w:rPr>
          <w:lang w:val="en-GB"/>
        </w:rPr>
        <w:t xml:space="preserve"> </w:t>
      </w:r>
      <w:r w:rsidRPr="00A708CA">
        <w:rPr>
          <w:lang w:val="en-GB"/>
        </w:rPr>
        <w:t>and health system demand. For decades, the NCD community has been calling</w:t>
      </w:r>
      <w:r>
        <w:rPr>
          <w:lang w:val="en-GB"/>
        </w:rPr>
        <w:t xml:space="preserve"> </w:t>
      </w:r>
      <w:r w:rsidRPr="00A708CA">
        <w:rPr>
          <w:lang w:val="en-GB"/>
        </w:rPr>
        <w:t>for system-wide coherence across sustainable financing, country-led prioritization and planning,</w:t>
      </w:r>
      <w:r>
        <w:rPr>
          <w:lang w:val="en-GB"/>
        </w:rPr>
        <w:t xml:space="preserve"> </w:t>
      </w:r>
      <w:r w:rsidRPr="00A708CA">
        <w:rPr>
          <w:lang w:val="en-GB"/>
        </w:rPr>
        <w:t>and cross-actor alignment that the report outlines and will provide important insight into the suggested reform processes. </w:t>
      </w:r>
      <w:r w:rsidRPr="00A708CA">
        <w:t> </w:t>
      </w:r>
    </w:p>
    <w:p w14:paraId="24F991A7" w14:textId="008A930A" w:rsidR="00A708CA" w:rsidRPr="00A708CA" w:rsidRDefault="00A708CA" w:rsidP="00A708CA">
      <w:pPr>
        <w:jc w:val="both"/>
      </w:pPr>
      <w:r w:rsidRPr="00A708CA">
        <w:rPr>
          <w:lang w:val="en-GB"/>
        </w:rPr>
        <w:lastRenderedPageBreak/>
        <w:t>The WHO has proposed a joint process is organized into three function-based</w:t>
      </w:r>
      <w:r>
        <w:rPr>
          <w:lang w:val="en-GB"/>
        </w:rPr>
        <w:t xml:space="preserve"> </w:t>
      </w:r>
      <w:r w:rsidRPr="00A708CA">
        <w:rPr>
          <w:lang w:val="en-GB"/>
        </w:rPr>
        <w:t>‘objectives’</w:t>
      </w:r>
      <w:r>
        <w:rPr>
          <w:lang w:val="en-GB"/>
        </w:rPr>
        <w:t xml:space="preserve"> f</w:t>
      </w:r>
      <w:r w:rsidRPr="00A708CA">
        <w:rPr>
          <w:lang w:val="en-GB"/>
        </w:rPr>
        <w:t>ocusing on mandates, coordination, and financing. The three objectives will be</w:t>
      </w:r>
      <w:r>
        <w:rPr>
          <w:lang w:val="en-GB"/>
        </w:rPr>
        <w:t xml:space="preserve"> </w:t>
      </w:r>
      <w:r w:rsidRPr="00A708CA">
        <w:rPr>
          <w:lang w:val="en-GB"/>
        </w:rPr>
        <w:t>taken</w:t>
      </w:r>
      <w:r>
        <w:rPr>
          <w:lang w:val="en-GB"/>
        </w:rPr>
        <w:t xml:space="preserve"> f</w:t>
      </w:r>
      <w:r w:rsidRPr="00A708CA">
        <w:rPr>
          <w:lang w:val="en-GB"/>
        </w:rPr>
        <w:t>orward</w:t>
      </w:r>
      <w:r>
        <w:rPr>
          <w:lang w:val="en-GB"/>
        </w:rPr>
        <w:t xml:space="preserve"> </w:t>
      </w:r>
      <w:r w:rsidRPr="00A708CA">
        <w:rPr>
          <w:lang w:val="en-GB"/>
        </w:rPr>
        <w:t>by a joint task force supported by a dedicated task force secretariat. This four-phase</w:t>
      </w:r>
      <w:r>
        <w:rPr>
          <w:lang w:val="en-GB"/>
        </w:rPr>
        <w:t xml:space="preserve"> </w:t>
      </w:r>
      <w:r w:rsidRPr="00A708CA">
        <w:rPr>
          <w:lang w:val="en-GB"/>
        </w:rPr>
        <w:t>roadmap, scheduled to run from June 2026 to May 2027, involves mapping, stakeholder</w:t>
      </w:r>
      <w:r>
        <w:rPr>
          <w:lang w:val="en-GB"/>
        </w:rPr>
        <w:t xml:space="preserve"> </w:t>
      </w:r>
      <w:r w:rsidRPr="00A708CA">
        <w:rPr>
          <w:lang w:val="en-GB"/>
        </w:rPr>
        <w:t>consultations,</w:t>
      </w:r>
      <w:r>
        <w:rPr>
          <w:lang w:val="en-GB"/>
        </w:rPr>
        <w:t xml:space="preserve"> </w:t>
      </w:r>
      <w:r w:rsidRPr="00A708CA">
        <w:rPr>
          <w:lang w:val="en-GB"/>
        </w:rPr>
        <w:t>and board reviews to finalize a consolidated set of recommendations</w:t>
      </w:r>
      <w:r>
        <w:rPr>
          <w:lang w:val="en-GB"/>
        </w:rPr>
        <w:t xml:space="preserve"> f</w:t>
      </w:r>
      <w:r w:rsidRPr="00A708CA">
        <w:rPr>
          <w:lang w:val="en-GB"/>
        </w:rPr>
        <w:t>or</w:t>
      </w:r>
      <w:r>
        <w:rPr>
          <w:lang w:val="en-GB"/>
        </w:rPr>
        <w:t xml:space="preserve"> </w:t>
      </w:r>
      <w:r w:rsidRPr="00A708CA">
        <w:rPr>
          <w:lang w:val="en-GB"/>
        </w:rPr>
        <w:t>the 80</w:t>
      </w:r>
      <w:r w:rsidRPr="00A708CA">
        <w:rPr>
          <w:vertAlign w:val="superscript"/>
          <w:lang w:val="en-GB"/>
        </w:rPr>
        <w:t>th</w:t>
      </w:r>
      <w:r w:rsidRPr="00A708CA">
        <w:rPr>
          <w:lang w:val="en-GB"/>
        </w:rPr>
        <w:t> session of the World Health Assembly. </w:t>
      </w:r>
      <w:r w:rsidRPr="00A708CA">
        <w:t>  </w:t>
      </w:r>
    </w:p>
    <w:p w14:paraId="1555717D" w14:textId="01BF277B" w:rsidR="00A708CA" w:rsidRPr="00A708CA" w:rsidRDefault="00A708CA" w:rsidP="00A708CA">
      <w:pPr>
        <w:jc w:val="both"/>
      </w:pPr>
      <w:r w:rsidRPr="00A708CA">
        <w:rPr>
          <w:noProof/>
        </w:rPr>
        <w:drawing>
          <wp:inline distT="0" distB="0" distL="0" distR="0" wp14:anchorId="1F64E6E9" wp14:editId="6C5E891E">
            <wp:extent cx="243205" cy="243205"/>
            <wp:effectExtent l="0" t="0" r="0" b="0"/>
            <wp:docPr id="1870709818" name="Picture 6" descr="Clapping Han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apping Hand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205" cy="243205"/>
                    </a:xfrm>
                    <a:prstGeom prst="rect">
                      <a:avLst/>
                    </a:prstGeom>
                    <a:noFill/>
                    <a:ln>
                      <a:noFill/>
                    </a:ln>
                  </pic:spPr>
                </pic:pic>
              </a:graphicData>
            </a:graphic>
          </wp:inline>
        </w:drawing>
      </w:r>
      <w:r w:rsidRPr="00A708CA">
        <w:rPr>
          <w:b/>
          <w:bCs/>
          <w:lang w:val="en-GB"/>
        </w:rPr>
        <w:t> We welcome:</w:t>
      </w:r>
      <w:r w:rsidRPr="00A708CA">
        <w:t> </w:t>
      </w:r>
    </w:p>
    <w:p w14:paraId="09EF7645" w14:textId="77777777" w:rsidR="00A708CA" w:rsidRPr="00A708CA" w:rsidRDefault="00A708CA" w:rsidP="00F95525">
      <w:pPr>
        <w:numPr>
          <w:ilvl w:val="0"/>
          <w:numId w:val="1"/>
        </w:numPr>
        <w:jc w:val="both"/>
      </w:pPr>
      <w:r w:rsidRPr="00A708CA">
        <w:rPr>
          <w:lang w:val="en-GB"/>
        </w:rPr>
        <w:t>The explicit recognition of noncommunicable diseases and mental health among the key focus of WHO’s proposal as a "shifting priority" in global health, reflecting the growing disease burden and changing demographics.</w:t>
      </w:r>
      <w:r w:rsidRPr="00A708CA">
        <w:t> </w:t>
      </w:r>
    </w:p>
    <w:p w14:paraId="4298EED6" w14:textId="01C79190" w:rsidR="00A708CA" w:rsidRPr="00A708CA" w:rsidRDefault="00A708CA" w:rsidP="00F95525">
      <w:pPr>
        <w:numPr>
          <w:ilvl w:val="0"/>
          <w:numId w:val="2"/>
        </w:numPr>
        <w:jc w:val="both"/>
      </w:pPr>
      <w:r w:rsidRPr="00A708CA">
        <w:rPr>
          <w:lang w:val="en-GB"/>
        </w:rPr>
        <w:t>The process will be guided by overarching</w:t>
      </w:r>
      <w:r>
        <w:rPr>
          <w:lang w:val="en-GB"/>
        </w:rPr>
        <w:t xml:space="preserve"> principles </w:t>
      </w:r>
      <w:r w:rsidRPr="00A708CA">
        <w:rPr>
          <w:lang w:val="en-GB"/>
        </w:rPr>
        <w:t>of</w:t>
      </w:r>
      <w:r>
        <w:rPr>
          <w:lang w:val="en-GB"/>
        </w:rPr>
        <w:t xml:space="preserve"> a</w:t>
      </w:r>
      <w:r w:rsidRPr="00A708CA">
        <w:rPr>
          <w:lang w:val="en-GB"/>
        </w:rPr>
        <w:t>dvancing</w:t>
      </w:r>
      <w:r>
        <w:rPr>
          <w:lang w:val="en-GB"/>
        </w:rPr>
        <w:t xml:space="preserve"> </w:t>
      </w:r>
      <w:r w:rsidRPr="00A708CA">
        <w:rPr>
          <w:lang w:val="en-GB"/>
        </w:rPr>
        <w:t>equity</w:t>
      </w:r>
      <w:r>
        <w:rPr>
          <w:lang w:val="en-GB"/>
        </w:rPr>
        <w:t xml:space="preserve"> </w:t>
      </w:r>
      <w:r w:rsidRPr="00A708CA">
        <w:rPr>
          <w:lang w:val="en-GB"/>
        </w:rPr>
        <w:t>and</w:t>
      </w:r>
      <w:r>
        <w:rPr>
          <w:lang w:val="en-GB"/>
        </w:rPr>
        <w:t xml:space="preserve"> </w:t>
      </w:r>
      <w:r w:rsidRPr="00A708CA">
        <w:rPr>
          <w:lang w:val="en-GB"/>
        </w:rPr>
        <w:t>solidarity,</w:t>
      </w:r>
      <w:r>
        <w:rPr>
          <w:lang w:val="en-GB"/>
        </w:rPr>
        <w:t xml:space="preserve"> </w:t>
      </w:r>
      <w:r w:rsidRPr="00A708CA">
        <w:rPr>
          <w:lang w:val="en-GB"/>
        </w:rPr>
        <w:t>the right to health, and leaving no one behind that will help build a system that promotes health for all.</w:t>
      </w:r>
      <w:r w:rsidRPr="00A708CA">
        <w:t> </w:t>
      </w:r>
    </w:p>
    <w:p w14:paraId="000F634F" w14:textId="32D27F54" w:rsidR="00A708CA" w:rsidRPr="00A708CA" w:rsidRDefault="00A708CA" w:rsidP="00F95525">
      <w:pPr>
        <w:numPr>
          <w:ilvl w:val="0"/>
          <w:numId w:val="3"/>
        </w:numPr>
        <w:jc w:val="both"/>
      </w:pPr>
      <w:r w:rsidRPr="00A708CA">
        <w:rPr>
          <w:lang w:val="en-GB"/>
        </w:rPr>
        <w:t>The focus on national leadership and ownership, which will</w:t>
      </w:r>
      <w:r>
        <w:rPr>
          <w:lang w:val="en-GB"/>
        </w:rPr>
        <w:t xml:space="preserve"> </w:t>
      </w:r>
      <w:r w:rsidRPr="00A708CA">
        <w:rPr>
          <w:lang w:val="en-GB"/>
        </w:rPr>
        <w:t>more</w:t>
      </w:r>
      <w:r>
        <w:rPr>
          <w:lang w:val="en-GB"/>
        </w:rPr>
        <w:t xml:space="preserve"> </w:t>
      </w:r>
      <w:r w:rsidRPr="00A708CA">
        <w:rPr>
          <w:lang w:val="en-GB"/>
        </w:rPr>
        <w:t>effectively</w:t>
      </w:r>
      <w:r>
        <w:rPr>
          <w:lang w:val="en-GB"/>
        </w:rPr>
        <w:t xml:space="preserve"> </w:t>
      </w:r>
      <w:r w:rsidRPr="00A708CA">
        <w:rPr>
          <w:lang w:val="en-GB"/>
        </w:rPr>
        <w:t>address</w:t>
      </w:r>
      <w:r>
        <w:rPr>
          <w:lang w:val="en-GB"/>
        </w:rPr>
        <w:t xml:space="preserve"> </w:t>
      </w:r>
      <w:r w:rsidRPr="00A708CA">
        <w:rPr>
          <w:lang w:val="en-GB"/>
        </w:rPr>
        <w:t>the</w:t>
      </w:r>
      <w:r>
        <w:rPr>
          <w:lang w:val="en-GB"/>
        </w:rPr>
        <w:t xml:space="preserve"> </w:t>
      </w:r>
      <w:r w:rsidRPr="00A708CA">
        <w:rPr>
          <w:lang w:val="en-GB"/>
        </w:rPr>
        <w:t>needs of LMICs to support health sovereignty.</w:t>
      </w:r>
      <w:r w:rsidRPr="00A708CA">
        <w:t> </w:t>
      </w:r>
    </w:p>
    <w:p w14:paraId="69617FD3" w14:textId="77777777" w:rsidR="00A708CA" w:rsidRPr="00A708CA" w:rsidRDefault="00A708CA" w:rsidP="00F95525">
      <w:pPr>
        <w:numPr>
          <w:ilvl w:val="0"/>
          <w:numId w:val="4"/>
        </w:numPr>
        <w:jc w:val="both"/>
      </w:pPr>
      <w:r w:rsidRPr="00A708CA">
        <w:rPr>
          <w:lang w:val="en-GB"/>
        </w:rPr>
        <w:t>The emphasis on country health leadership and the goal to align international financing with nationally led plans, moving away from donor-driven vertical priorities.</w:t>
      </w:r>
      <w:r w:rsidRPr="00A708CA">
        <w:t> </w:t>
      </w:r>
    </w:p>
    <w:p w14:paraId="5C71AF59" w14:textId="4ABBB353" w:rsidR="00A708CA" w:rsidRPr="00A708CA" w:rsidRDefault="00A708CA" w:rsidP="00F95525">
      <w:pPr>
        <w:numPr>
          <w:ilvl w:val="0"/>
          <w:numId w:val="5"/>
        </w:numPr>
        <w:jc w:val="both"/>
      </w:pPr>
      <w:r w:rsidRPr="00A708CA">
        <w:rPr>
          <w:lang w:val="en-GB"/>
        </w:rPr>
        <w:t>Under objective (iii) we welcome the review of the existing GHA financing flows with a view to improving support for national plans and budgets, national aid transitions.</w:t>
      </w:r>
      <w:r>
        <w:rPr>
          <w:lang w:val="en-GB"/>
        </w:rPr>
        <w:t xml:space="preserve"> </w:t>
      </w:r>
      <w:r w:rsidRPr="00A708CA">
        <w:rPr>
          <w:lang w:val="en-GB"/>
        </w:rPr>
        <w:t>Provision of specific support from existing GHIs and other global health actors will be a vital contribution towards enabling this shift by national governments. </w:t>
      </w:r>
      <w:r w:rsidRPr="00A708CA">
        <w:t> </w:t>
      </w:r>
    </w:p>
    <w:p w14:paraId="1060CDD0" w14:textId="77777777" w:rsidR="00A708CA" w:rsidRPr="00A708CA" w:rsidRDefault="00A708CA" w:rsidP="00F95525">
      <w:pPr>
        <w:numPr>
          <w:ilvl w:val="0"/>
          <w:numId w:val="6"/>
        </w:numPr>
        <w:jc w:val="both"/>
      </w:pPr>
      <w:r w:rsidRPr="00A708CA">
        <w:rPr>
          <w:lang w:val="en-GB"/>
        </w:rPr>
        <w:t>The emphasis on PHC, placing it at the heart of resilient national health systems, which is essential for providing integrated, people-</w:t>
      </w:r>
      <w:proofErr w:type="spellStart"/>
      <w:r w:rsidRPr="00A708CA">
        <w:rPr>
          <w:lang w:val="en-GB"/>
        </w:rPr>
        <w:t>centered</w:t>
      </w:r>
      <w:proofErr w:type="spellEnd"/>
      <w:r w:rsidRPr="00A708CA">
        <w:rPr>
          <w:lang w:val="en-GB"/>
        </w:rPr>
        <w:t> care. PHC needs to be seen within the broader health system context, including risk factors, determinants of health, prevention and strong referral systems across the life course.</w:t>
      </w:r>
      <w:r w:rsidRPr="00A708CA">
        <w:t> </w:t>
      </w:r>
    </w:p>
    <w:p w14:paraId="46C802E5" w14:textId="5D96DF54" w:rsidR="00A708CA" w:rsidRPr="00A708CA" w:rsidRDefault="00A708CA" w:rsidP="00A708CA">
      <w:pPr>
        <w:jc w:val="both"/>
      </w:pPr>
      <w:r w:rsidRPr="00A708CA">
        <w:rPr>
          <w:noProof/>
        </w:rPr>
        <w:drawing>
          <wp:inline distT="0" distB="0" distL="0" distR="0" wp14:anchorId="7CFB4B5D" wp14:editId="546F571E">
            <wp:extent cx="213995" cy="213995"/>
            <wp:effectExtent l="0" t="0" r="1905" b="1905"/>
            <wp:docPr id="126148920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w:r>
      <w:r w:rsidRPr="00A708CA">
        <w:rPr>
          <w:b/>
          <w:bCs/>
          <w:lang w:val="en-GB"/>
        </w:rPr>
        <w:t> We express concern: </w:t>
      </w:r>
      <w:r w:rsidRPr="00A708CA">
        <w:t> </w:t>
      </w:r>
    </w:p>
    <w:p w14:paraId="0223E855" w14:textId="77777777" w:rsidR="00A708CA" w:rsidRPr="00A708CA" w:rsidRDefault="00A708CA" w:rsidP="00F95525">
      <w:pPr>
        <w:numPr>
          <w:ilvl w:val="0"/>
          <w:numId w:val="7"/>
        </w:numPr>
        <w:jc w:val="both"/>
      </w:pPr>
      <w:r w:rsidRPr="00A708CA">
        <w:rPr>
          <w:lang w:val="en-GB"/>
        </w:rPr>
        <w:t>The proposal does not explicitly name a "rights-based approach," which is essential to ensure governments remain primary duty-bearers to delivering health for all. </w:t>
      </w:r>
      <w:r w:rsidRPr="00A708CA">
        <w:t> </w:t>
      </w:r>
    </w:p>
    <w:p w14:paraId="3694AFE3" w14:textId="76C7996C" w:rsidR="00A708CA" w:rsidRPr="00A708CA" w:rsidRDefault="00A708CA" w:rsidP="00F95525">
      <w:pPr>
        <w:numPr>
          <w:ilvl w:val="0"/>
          <w:numId w:val="8"/>
        </w:numPr>
        <w:jc w:val="both"/>
      </w:pPr>
      <w:r w:rsidRPr="00A708CA">
        <w:rPr>
          <w:lang w:val="en-GB"/>
        </w:rPr>
        <w:t>The meaningful engagement of civil society and people living with health conditions</w:t>
      </w:r>
      <w:r>
        <w:rPr>
          <w:lang w:val="en-GB"/>
        </w:rPr>
        <w:t xml:space="preserve"> </w:t>
      </w:r>
      <w:r w:rsidRPr="00A708CA">
        <w:rPr>
          <w:lang w:val="en-GB"/>
        </w:rPr>
        <w:t>has not been enacted in the planned structure of the Task Force. With no seat on the main body responsible for this joint process, the processes’ principles of equity and impact are not met and prevent the GHA from adequately addressing the challenges</w:t>
      </w:r>
      <w:r>
        <w:rPr>
          <w:lang w:val="en-GB"/>
        </w:rPr>
        <w:t xml:space="preserve"> </w:t>
      </w:r>
      <w:r w:rsidRPr="00A708CA">
        <w:rPr>
          <w:lang w:val="en-GB"/>
        </w:rPr>
        <w:t xml:space="preserve">of people it pledges not </w:t>
      </w:r>
      <w:r w:rsidRPr="00A708CA">
        <w:rPr>
          <w:lang w:val="en-GB"/>
        </w:rPr>
        <w:lastRenderedPageBreak/>
        <w:t>to leave behind, because it fails to recognize the contributions of these groups in delivering on global commitments.</w:t>
      </w:r>
      <w:r w:rsidRPr="00A708CA">
        <w:t> </w:t>
      </w:r>
    </w:p>
    <w:p w14:paraId="012C7B5A" w14:textId="70DA0798" w:rsidR="00A708CA" w:rsidRPr="00A708CA" w:rsidRDefault="00A708CA" w:rsidP="00F95525">
      <w:pPr>
        <w:numPr>
          <w:ilvl w:val="0"/>
          <w:numId w:val="9"/>
        </w:numPr>
        <w:jc w:val="both"/>
      </w:pPr>
      <w:r w:rsidRPr="00A708CA">
        <w:rPr>
          <w:lang w:val="en-GB"/>
        </w:rPr>
        <w:t>The description of consultation with the WHO Civil Society Commission and the WHO Youth Council is unspecific – described as “engaged through</w:t>
      </w:r>
      <w:r>
        <w:rPr>
          <w:lang w:val="en-GB"/>
        </w:rPr>
        <w:t xml:space="preserve"> r</w:t>
      </w:r>
      <w:r w:rsidRPr="00A708CA">
        <w:rPr>
          <w:lang w:val="en-GB"/>
        </w:rPr>
        <w:t>egular</w:t>
      </w:r>
      <w:r>
        <w:rPr>
          <w:lang w:val="en-GB"/>
        </w:rPr>
        <w:t xml:space="preserve"> </w:t>
      </w:r>
      <w:r w:rsidRPr="00A708CA">
        <w:rPr>
          <w:lang w:val="en-GB"/>
        </w:rPr>
        <w:t>meetings,” whereas the consultations with all WHO member states are specified as “monthly information or consultation sessions”.  In this structure, civil society and impacted communities will be left outside of the main process, unable to present their views directly either to Member States or the other GHA bodies on the task force, except for those task force members with provision for civil society engagement within their own governance structures. </w:t>
      </w:r>
      <w:r w:rsidRPr="00A708CA">
        <w:t> </w:t>
      </w:r>
    </w:p>
    <w:p w14:paraId="2284D4AF" w14:textId="1928D0E8" w:rsidR="00A708CA" w:rsidRPr="00A708CA" w:rsidRDefault="00A708CA" w:rsidP="00F95525">
      <w:pPr>
        <w:numPr>
          <w:ilvl w:val="0"/>
          <w:numId w:val="10"/>
        </w:numPr>
        <w:jc w:val="both"/>
      </w:pPr>
      <w:r w:rsidRPr="00A708CA">
        <w:rPr>
          <w:lang w:val="en-GB"/>
        </w:rPr>
        <w:t>Under objective (</w:t>
      </w:r>
      <w:proofErr w:type="spellStart"/>
      <w:r w:rsidRPr="00A708CA">
        <w:rPr>
          <w:lang w:val="en-GB"/>
        </w:rPr>
        <w:t>i</w:t>
      </w:r>
      <w:proofErr w:type="spellEnd"/>
      <w:r w:rsidRPr="00A708CA">
        <w:rPr>
          <w:lang w:val="en-GB"/>
        </w:rPr>
        <w:t>) the commitment to develop options for overlaps and gaps in the current GHA functions. We recognise the importance of finding efficiencies and improvements in the current GHA, however</w:t>
      </w:r>
      <w:r>
        <w:rPr>
          <w:lang w:val="en-GB"/>
        </w:rPr>
        <w:t>,</w:t>
      </w:r>
      <w:r w:rsidRPr="00A708CA">
        <w:rPr>
          <w:lang w:val="en-GB"/>
        </w:rPr>
        <w:t xml:space="preserve"> with its focus on disease</w:t>
      </w:r>
      <w:r>
        <w:rPr>
          <w:lang w:val="en-GB"/>
        </w:rPr>
        <w:t>-</w:t>
      </w:r>
      <w:r w:rsidRPr="00A708CA">
        <w:rPr>
          <w:lang w:val="en-GB"/>
        </w:rPr>
        <w:t>specific verticals, there are significant gaps in providing support for health system strengthening for the delivery of integrated person-centred care and the achievement of UHC. Solutions for addressing these gaps must be part of the outcome of this process.</w:t>
      </w:r>
      <w:r w:rsidRPr="00A708CA">
        <w:t> </w:t>
      </w:r>
    </w:p>
    <w:p w14:paraId="5CDFFEC3" w14:textId="196C26DE" w:rsidR="00A708CA" w:rsidRPr="00A708CA" w:rsidRDefault="00A708CA" w:rsidP="00F95525">
      <w:pPr>
        <w:numPr>
          <w:ilvl w:val="0"/>
          <w:numId w:val="11"/>
        </w:numPr>
        <w:jc w:val="both"/>
      </w:pPr>
      <w:r w:rsidRPr="00A708CA">
        <w:rPr>
          <w:lang w:val="en-GB"/>
        </w:rPr>
        <w:t>Without a dedicated institutional champion for NCDs like those for existing vertical initiatives represented by the GHIs on the Task Force, these conditions may continue to be sidelined in decision-making and accountability processes. Without specific plans to engage such groups, there is a structural</w:t>
      </w:r>
      <w:r>
        <w:rPr>
          <w:lang w:val="en-GB"/>
        </w:rPr>
        <w:t xml:space="preserve"> </w:t>
      </w:r>
      <w:r w:rsidRPr="00A708CA">
        <w:rPr>
          <w:lang w:val="en-GB"/>
        </w:rPr>
        <w:t>disadvantage for the stated objectives of identifying and proposing solutions for gaps in responding to current and future challenges, versus attention paid to addressing efficiency in the existing structures established to address MDG-era priorities.</w:t>
      </w:r>
      <w:r w:rsidRPr="00A708CA">
        <w:t> </w:t>
      </w:r>
    </w:p>
    <w:p w14:paraId="183D653B" w14:textId="1DF95F8A" w:rsidR="00A708CA" w:rsidRPr="00A708CA" w:rsidRDefault="00A708CA" w:rsidP="00F95525">
      <w:pPr>
        <w:numPr>
          <w:ilvl w:val="0"/>
          <w:numId w:val="12"/>
        </w:numPr>
        <w:jc w:val="both"/>
      </w:pPr>
      <w:r w:rsidRPr="00A708CA">
        <w:rPr>
          <w:lang w:val="en-GB"/>
        </w:rPr>
        <w:t xml:space="preserve">The lack of detailed plans to mitigate barriers to participation for underrepresented groups and affected populations. </w:t>
      </w:r>
      <w:r>
        <w:rPr>
          <w:lang w:val="en-GB"/>
        </w:rPr>
        <w:t>The p</w:t>
      </w:r>
      <w:r w:rsidRPr="00A708CA">
        <w:rPr>
          <w:lang w:val="en-GB"/>
        </w:rPr>
        <w:t>roposed timeline outlined by the WHO will result in a rushed process, which will prevent the work from being truly inclusive, particularly</w:t>
      </w:r>
      <w:r>
        <w:rPr>
          <w:lang w:val="en-GB"/>
        </w:rPr>
        <w:t xml:space="preserve"> </w:t>
      </w:r>
      <w:r w:rsidRPr="00A708CA">
        <w:rPr>
          <w:lang w:val="en-GB"/>
        </w:rPr>
        <w:t>the three-month window for "Phase II: Mapping &amp; Options" remains too compressed for substantive technical work and transparent decision-making. The resource implications and risk management sections outline support for groups who could not otherwise engage and </w:t>
      </w:r>
      <w:proofErr w:type="gramStart"/>
      <w:r w:rsidR="00584187" w:rsidRPr="00A708CA">
        <w:rPr>
          <w:lang w:val="en-GB"/>
        </w:rPr>
        <w:t>LMICs</w:t>
      </w:r>
      <w:r w:rsidR="00584187">
        <w:rPr>
          <w:lang w:val="en-GB"/>
        </w:rPr>
        <w:t>,</w:t>
      </w:r>
      <w:r w:rsidR="00584187" w:rsidRPr="00A708CA">
        <w:rPr>
          <w:lang w:val="en-GB"/>
        </w:rPr>
        <w:t xml:space="preserve"> but</w:t>
      </w:r>
      <w:proofErr w:type="gramEnd"/>
      <w:r w:rsidRPr="00A708CA">
        <w:rPr>
          <w:lang w:val="en-GB"/>
        </w:rPr>
        <w:t> are not sufficient to address the capacity constraints and low levels of engagement these stakeholders have faced thus far.</w:t>
      </w:r>
      <w:r w:rsidRPr="00A708CA">
        <w:t> </w:t>
      </w:r>
    </w:p>
    <w:p w14:paraId="06615743" w14:textId="04A8E252" w:rsidR="00A708CA" w:rsidRDefault="00A708CA" w:rsidP="00F95525">
      <w:pPr>
        <w:numPr>
          <w:ilvl w:val="0"/>
          <w:numId w:val="13"/>
        </w:numPr>
        <w:jc w:val="both"/>
      </w:pPr>
      <w:r w:rsidRPr="00A708CA">
        <w:rPr>
          <w:lang w:val="en-GB"/>
        </w:rPr>
        <w:t xml:space="preserve">The lack of explicit safeguards to limit the influence of all health-harming industries (e.g., tobacco, alcohol, unhealthy foods) within the reform process. We recognise the reference to FENSA with reference to the Civil Society </w:t>
      </w:r>
      <w:proofErr w:type="gramStart"/>
      <w:r w:rsidR="00584187" w:rsidRPr="00A708CA">
        <w:rPr>
          <w:lang w:val="en-GB"/>
        </w:rPr>
        <w:t>Commission</w:t>
      </w:r>
      <w:r w:rsidR="00584187">
        <w:rPr>
          <w:lang w:val="en-GB"/>
        </w:rPr>
        <w:t>, but</w:t>
      </w:r>
      <w:proofErr w:type="gramEnd"/>
      <w:r w:rsidRPr="00A708CA">
        <w:rPr>
          <w:lang w:val="en-GB"/>
        </w:rPr>
        <w:t xml:space="preserve"> note that FENSA itself does not proscribe engagement with unhealthy food or fossil fuel industries. We seek </w:t>
      </w:r>
      <w:r w:rsidRPr="00A708CA">
        <w:rPr>
          <w:lang w:val="en-GB"/>
        </w:rPr>
        <w:lastRenderedPageBreak/>
        <w:t>assurance that consultation inputs and wider stakeholder engagement will be safeguarded against such conflicts of interest with public health.</w:t>
      </w:r>
      <w:r w:rsidRPr="00A708CA">
        <w:t> </w:t>
      </w:r>
    </w:p>
    <w:p w14:paraId="58F36837" w14:textId="1D15861F" w:rsidR="00584187" w:rsidRPr="00A708CA" w:rsidRDefault="00584187" w:rsidP="00F95525">
      <w:pPr>
        <w:numPr>
          <w:ilvl w:val="0"/>
          <w:numId w:val="13"/>
        </w:numPr>
        <w:jc w:val="both"/>
      </w:pPr>
      <w:r>
        <w:t>The proposal lists ‘accountability’ as a principle of GHA reform, but it does not include, nor address, the establishment of accountability mechanisms to ensure that the resources and outcomes are not wasted and implemented effectively.</w:t>
      </w:r>
    </w:p>
    <w:p w14:paraId="5F5D5C1C" w14:textId="51103B80" w:rsidR="00A708CA" w:rsidRPr="00A708CA" w:rsidRDefault="00A708CA" w:rsidP="00A708CA">
      <w:pPr>
        <w:jc w:val="both"/>
      </w:pPr>
      <w:r w:rsidRPr="00A708CA">
        <w:rPr>
          <w:noProof/>
        </w:rPr>
        <w:drawing>
          <wp:inline distT="0" distB="0" distL="0" distR="0" wp14:anchorId="4F871D01" wp14:editId="523B8954">
            <wp:extent cx="243205" cy="243205"/>
            <wp:effectExtent l="0" t="0" r="0" b="0"/>
            <wp:docPr id="1081033821"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ape&#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205" cy="243205"/>
                    </a:xfrm>
                    <a:prstGeom prst="rect">
                      <a:avLst/>
                    </a:prstGeom>
                    <a:noFill/>
                    <a:ln>
                      <a:noFill/>
                    </a:ln>
                  </pic:spPr>
                </pic:pic>
              </a:graphicData>
            </a:graphic>
          </wp:inline>
        </w:drawing>
      </w:r>
      <w:r w:rsidRPr="00A708CA">
        <w:rPr>
          <w:b/>
          <w:bCs/>
          <w:lang w:val="en-GB"/>
        </w:rPr>
        <w:t> We urge Member States: </w:t>
      </w:r>
      <w:r w:rsidRPr="00A708CA">
        <w:t> </w:t>
      </w:r>
    </w:p>
    <w:p w14:paraId="1BA395E9" w14:textId="77777777" w:rsidR="00A708CA" w:rsidRPr="00A708CA" w:rsidRDefault="00A708CA" w:rsidP="00F95525">
      <w:pPr>
        <w:numPr>
          <w:ilvl w:val="0"/>
          <w:numId w:val="14"/>
        </w:numPr>
        <w:tabs>
          <w:tab w:val="num" w:pos="720"/>
        </w:tabs>
        <w:ind w:left="720"/>
        <w:jc w:val="both"/>
      </w:pPr>
      <w:r w:rsidRPr="00A708CA">
        <w:rPr>
          <w:lang w:val="en-GB"/>
        </w:rPr>
        <w:t>To include at least two seats on the Task Force of civil society and impacted communities. </w:t>
      </w:r>
      <w:r w:rsidRPr="00A708CA">
        <w:t> </w:t>
      </w:r>
    </w:p>
    <w:p w14:paraId="6DBAC928" w14:textId="1AB8C320" w:rsidR="00A708CA" w:rsidRPr="00A708CA" w:rsidRDefault="00A708CA" w:rsidP="00F95525">
      <w:pPr>
        <w:numPr>
          <w:ilvl w:val="0"/>
          <w:numId w:val="15"/>
        </w:numPr>
        <w:jc w:val="both"/>
      </w:pPr>
      <w:r w:rsidRPr="00A708CA">
        <w:rPr>
          <w:lang w:val="en-GB"/>
        </w:rPr>
        <w:t>To extend the roles of all stakeholders, including institutions with specific mandates,</w:t>
      </w:r>
      <w:r>
        <w:rPr>
          <w:lang w:val="en-GB"/>
        </w:rPr>
        <w:t xml:space="preserve"> </w:t>
      </w:r>
      <w:r w:rsidRPr="00A708CA">
        <w:rPr>
          <w:lang w:val="en-GB"/>
        </w:rPr>
        <w:t>creating a shared responsibility in the delivery of integrated, person-</w:t>
      </w:r>
      <w:proofErr w:type="spellStart"/>
      <w:r w:rsidRPr="00A708CA">
        <w:rPr>
          <w:lang w:val="en-GB"/>
        </w:rPr>
        <w:t>centered</w:t>
      </w:r>
      <w:proofErr w:type="spellEnd"/>
      <w:r w:rsidRPr="00A708CA">
        <w:rPr>
          <w:lang w:val="en-GB"/>
        </w:rPr>
        <w:t> care and UHC through resilient health systems.</w:t>
      </w:r>
      <w:r w:rsidRPr="00A708CA">
        <w:t> </w:t>
      </w:r>
    </w:p>
    <w:p w14:paraId="31C4089B" w14:textId="77777777" w:rsidR="00A708CA" w:rsidRPr="00A708CA" w:rsidRDefault="00A708CA" w:rsidP="00F95525">
      <w:pPr>
        <w:numPr>
          <w:ilvl w:val="0"/>
          <w:numId w:val="16"/>
        </w:numPr>
        <w:jc w:val="both"/>
      </w:pPr>
      <w:r w:rsidRPr="00A708CA">
        <w:rPr>
          <w:lang w:val="en-GB"/>
        </w:rPr>
        <w:t>Introduce explicit safeguards and conflict-of-interest mechanisms to protect the GHA reform from undue influence by health-harming industries.</w:t>
      </w:r>
      <w:r w:rsidRPr="00A708CA">
        <w:t> </w:t>
      </w:r>
    </w:p>
    <w:p w14:paraId="488AEC90" w14:textId="3DBB6325" w:rsidR="00A708CA" w:rsidRPr="00A708CA" w:rsidRDefault="00A708CA" w:rsidP="00F95525">
      <w:pPr>
        <w:numPr>
          <w:ilvl w:val="0"/>
          <w:numId w:val="17"/>
        </w:numPr>
        <w:jc w:val="both"/>
      </w:pPr>
      <w:r w:rsidRPr="00A708CA">
        <w:rPr>
          <w:lang w:val="en-GB"/>
        </w:rPr>
        <w:t>Additionally, establish a dedicated "people living with health conditions"</w:t>
      </w:r>
      <w:r>
        <w:rPr>
          <w:lang w:val="en-GB"/>
        </w:rPr>
        <w:t xml:space="preserve"> </w:t>
      </w:r>
      <w:r w:rsidRPr="00A708CA">
        <w:rPr>
          <w:lang w:val="en-GB"/>
        </w:rPr>
        <w:t>stakeholder</w:t>
      </w:r>
      <w:r>
        <w:rPr>
          <w:lang w:val="en-GB"/>
        </w:rPr>
        <w:t xml:space="preserve"> </w:t>
      </w:r>
      <w:r w:rsidRPr="00A708CA">
        <w:rPr>
          <w:lang w:val="en-GB"/>
        </w:rPr>
        <w:t>group</w:t>
      </w:r>
      <w:r>
        <w:rPr>
          <w:lang w:val="en-GB"/>
        </w:rPr>
        <w:t xml:space="preserve"> </w:t>
      </w:r>
      <w:r w:rsidRPr="00A708CA">
        <w:rPr>
          <w:lang w:val="en-GB"/>
        </w:rPr>
        <w:t>and ensure</w:t>
      </w:r>
      <w:r>
        <w:rPr>
          <w:lang w:val="en-GB"/>
        </w:rPr>
        <w:t xml:space="preserve"> </w:t>
      </w:r>
      <w:r w:rsidRPr="00A708CA">
        <w:rPr>
          <w:lang w:val="en-GB"/>
        </w:rPr>
        <w:t>their explicit inclusion in all aspects of the engagement and consultation processes. Developing and resourcing detailed plans for mitigating the risk during each stage of the short timeline to</w:t>
      </w:r>
      <w:r>
        <w:rPr>
          <w:lang w:val="en-GB"/>
        </w:rPr>
        <w:t xml:space="preserve"> </w:t>
      </w:r>
      <w:r w:rsidRPr="00A708CA">
        <w:rPr>
          <w:lang w:val="en-GB"/>
        </w:rPr>
        <w:t>ensure</w:t>
      </w:r>
      <w:r>
        <w:rPr>
          <w:lang w:val="en-GB"/>
        </w:rPr>
        <w:t xml:space="preserve"> </w:t>
      </w:r>
      <w:r w:rsidRPr="00A708CA">
        <w:rPr>
          <w:lang w:val="en-GB"/>
        </w:rPr>
        <w:t>a</w:t>
      </w:r>
      <w:r>
        <w:rPr>
          <w:lang w:val="en-GB"/>
        </w:rPr>
        <w:t xml:space="preserve"> t</w:t>
      </w:r>
      <w:r w:rsidRPr="00A708CA">
        <w:rPr>
          <w:lang w:val="en-GB"/>
        </w:rPr>
        <w:t>ruly</w:t>
      </w:r>
      <w:r>
        <w:rPr>
          <w:lang w:val="en-GB"/>
        </w:rPr>
        <w:t xml:space="preserve"> i</w:t>
      </w:r>
      <w:r w:rsidRPr="00A708CA">
        <w:rPr>
          <w:lang w:val="en-GB"/>
        </w:rPr>
        <w:t>nclusive</w:t>
      </w:r>
      <w:r>
        <w:rPr>
          <w:lang w:val="en-GB"/>
        </w:rPr>
        <w:t xml:space="preserve"> </w:t>
      </w:r>
      <w:r w:rsidRPr="00A708CA">
        <w:rPr>
          <w:lang w:val="en-GB"/>
        </w:rPr>
        <w:t>and transparent process</w:t>
      </w:r>
      <w:r w:rsidR="00584187">
        <w:t>.</w:t>
      </w:r>
    </w:p>
    <w:p w14:paraId="14A22A61" w14:textId="77777777" w:rsidR="00A708CA" w:rsidRPr="00A708CA" w:rsidRDefault="00A708CA" w:rsidP="00F95525">
      <w:pPr>
        <w:numPr>
          <w:ilvl w:val="0"/>
          <w:numId w:val="18"/>
        </w:numPr>
        <w:jc w:val="both"/>
      </w:pPr>
      <w:r w:rsidRPr="00A708CA">
        <w:rPr>
          <w:lang w:val="en-GB"/>
        </w:rPr>
        <w:t>To establish specific mechanisms to monitor and improve the implementation of the GHA process outcomes.</w:t>
      </w:r>
      <w:r w:rsidRPr="00A708CA">
        <w:t> </w:t>
      </w:r>
    </w:p>
    <w:p w14:paraId="2C408B74" w14:textId="77777777" w:rsidR="00A708CA" w:rsidRPr="00A708CA" w:rsidRDefault="00A708CA" w:rsidP="00F95525">
      <w:pPr>
        <w:numPr>
          <w:ilvl w:val="0"/>
          <w:numId w:val="19"/>
        </w:numPr>
        <w:jc w:val="both"/>
      </w:pPr>
      <w:r w:rsidRPr="00A708CA">
        <w:rPr>
          <w:lang w:val="en-GB"/>
        </w:rPr>
        <w:t>To ensure that the GHA proposals not only address improving the efficiency of the current GHA but deliver meaningful proposals for filling the gaps for addressing the shifting disease burdens and risks including NCDs, a one health approach, strengthening health systems and achieving UHC.  The role of existing GHIs and other health players in addressing these gaps must be established and enhanced as an outcome of this process</w:t>
      </w:r>
      <w:r w:rsidRPr="00A708CA">
        <w:t> </w:t>
      </w:r>
    </w:p>
    <w:p w14:paraId="4332AE2B" w14:textId="556CC3CC" w:rsidR="00A708CA" w:rsidRPr="00A708CA" w:rsidRDefault="00A708CA" w:rsidP="00F95525">
      <w:pPr>
        <w:numPr>
          <w:ilvl w:val="0"/>
          <w:numId w:val="20"/>
        </w:numPr>
        <w:jc w:val="both"/>
      </w:pPr>
      <w:r w:rsidRPr="00A708CA">
        <w:rPr>
          <w:lang w:val="en-GB"/>
        </w:rPr>
        <w:t>Addressing disease risk factors and wider determinants of health as integral to achieving Health for All, the new GHA must support health promotion and disease prevention beyond health sector</w:t>
      </w:r>
      <w:r w:rsidRPr="00A708CA">
        <w:t> </w:t>
      </w:r>
    </w:p>
    <w:p w14:paraId="0A5076F9" w14:textId="77777777" w:rsidR="00A708CA" w:rsidRPr="00A708CA" w:rsidRDefault="00A708CA" w:rsidP="00F95525">
      <w:pPr>
        <w:numPr>
          <w:ilvl w:val="0"/>
          <w:numId w:val="21"/>
        </w:numPr>
        <w:jc w:val="both"/>
      </w:pPr>
      <w:r w:rsidRPr="00A708CA">
        <w:rPr>
          <w:lang w:val="en-GB"/>
        </w:rPr>
        <w:t>To uphold the principles and shifts outlined in the Lusaka Agenda, bringing alignment between unmet health needs, resources, and the priorities of governments.</w:t>
      </w:r>
      <w:r w:rsidRPr="00A708CA">
        <w:t> </w:t>
      </w:r>
    </w:p>
    <w:p w14:paraId="4BF0EFA5" w14:textId="77777777" w:rsidR="00A708CA" w:rsidRPr="00A708CA" w:rsidRDefault="00A708CA" w:rsidP="003070B5">
      <w:pPr>
        <w:ind w:left="540"/>
        <w:jc w:val="both"/>
      </w:pPr>
      <w:r w:rsidRPr="00A708CA">
        <w:t> </w:t>
      </w:r>
    </w:p>
    <w:p w14:paraId="752667D4" w14:textId="77777777" w:rsidR="00A708CA" w:rsidRPr="00A708CA" w:rsidRDefault="00A708CA" w:rsidP="003070B5">
      <w:pPr>
        <w:ind w:left="540"/>
        <w:jc w:val="both"/>
      </w:pPr>
      <w:r w:rsidRPr="00A708CA">
        <w:t> </w:t>
      </w:r>
    </w:p>
    <w:p w14:paraId="272DBD65" w14:textId="77777777" w:rsidR="00B11613" w:rsidRDefault="00B11613" w:rsidP="003070B5">
      <w:pPr>
        <w:ind w:left="540"/>
        <w:jc w:val="both"/>
      </w:pPr>
    </w:p>
    <w:sectPr w:rsidR="00B11613" w:rsidSect="00F95525">
      <w:headerReference w:type="default" r:id="rId15"/>
      <w:footerReference w:type="even" r:id="rId16"/>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C456E" w14:textId="77777777" w:rsidR="00E52899" w:rsidRDefault="00E52899" w:rsidP="00AB3F07">
      <w:pPr>
        <w:spacing w:after="0" w:line="240" w:lineRule="auto"/>
      </w:pPr>
      <w:r>
        <w:separator/>
      </w:r>
    </w:p>
  </w:endnote>
  <w:endnote w:type="continuationSeparator" w:id="0">
    <w:p w14:paraId="3E5BD76D" w14:textId="77777777" w:rsidR="00E52899" w:rsidRDefault="00E52899" w:rsidP="00AB3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3865118"/>
      <w:docPartObj>
        <w:docPartGallery w:val="Page Numbers (Bottom of Page)"/>
        <w:docPartUnique/>
      </w:docPartObj>
    </w:sdtPr>
    <w:sdtContent>
      <w:p w14:paraId="41170423" w14:textId="37505DFB" w:rsidR="0033014F" w:rsidRDefault="0033014F" w:rsidP="00B37F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E729464" w14:textId="77777777" w:rsidR="00AB3F07" w:rsidRDefault="00AB3F07" w:rsidP="003301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6911968"/>
      <w:docPartObj>
        <w:docPartGallery w:val="Page Numbers (Bottom of Page)"/>
        <w:docPartUnique/>
      </w:docPartObj>
    </w:sdtPr>
    <w:sdtContent>
      <w:p w14:paraId="35119F0C" w14:textId="5EF6340C" w:rsidR="0033014F" w:rsidRDefault="0033014F" w:rsidP="00B37F55">
        <w:pPr>
          <w:pStyle w:val="Footer"/>
          <w:framePr w:wrap="none" w:vAnchor="text" w:hAnchor="margin" w:xAlign="right" w:y="1"/>
          <w:rPr>
            <w:rStyle w:val="PageNumber"/>
          </w:rPr>
        </w:pPr>
        <w:r w:rsidRPr="0033014F">
          <w:rPr>
            <w:rStyle w:val="PageNumber"/>
            <w:sz w:val="20"/>
            <w:szCs w:val="20"/>
          </w:rPr>
          <w:fldChar w:fldCharType="begin"/>
        </w:r>
        <w:r w:rsidRPr="0033014F">
          <w:rPr>
            <w:rStyle w:val="PageNumber"/>
            <w:sz w:val="20"/>
            <w:szCs w:val="20"/>
          </w:rPr>
          <w:instrText xml:space="preserve"> PAGE </w:instrText>
        </w:r>
        <w:r w:rsidRPr="0033014F">
          <w:rPr>
            <w:rStyle w:val="PageNumber"/>
            <w:sz w:val="20"/>
            <w:szCs w:val="20"/>
          </w:rPr>
          <w:fldChar w:fldCharType="separate"/>
        </w:r>
        <w:r w:rsidRPr="0033014F">
          <w:rPr>
            <w:rStyle w:val="PageNumber"/>
            <w:noProof/>
            <w:sz w:val="20"/>
            <w:szCs w:val="20"/>
          </w:rPr>
          <w:t>1</w:t>
        </w:r>
        <w:r w:rsidRPr="0033014F">
          <w:rPr>
            <w:rStyle w:val="PageNumber"/>
            <w:sz w:val="20"/>
            <w:szCs w:val="20"/>
          </w:rPr>
          <w:fldChar w:fldCharType="end"/>
        </w:r>
      </w:p>
    </w:sdtContent>
  </w:sdt>
  <w:p w14:paraId="42C3830F" w14:textId="54197F02" w:rsidR="00AB3F07" w:rsidRDefault="0033014F" w:rsidP="0033014F">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309B" w14:textId="77777777" w:rsidR="00E52899" w:rsidRDefault="00E52899" w:rsidP="00AB3F07">
      <w:pPr>
        <w:spacing w:after="0" w:line="240" w:lineRule="auto"/>
      </w:pPr>
      <w:r>
        <w:separator/>
      </w:r>
    </w:p>
  </w:footnote>
  <w:footnote w:type="continuationSeparator" w:id="0">
    <w:p w14:paraId="02ABF2C5" w14:textId="77777777" w:rsidR="00E52899" w:rsidRDefault="00E52899" w:rsidP="00AB3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67ED" w14:textId="2C60FA51" w:rsidR="00AB3F07" w:rsidRDefault="00AB3F07">
    <w:pPr>
      <w:pStyle w:val="Header"/>
    </w:pPr>
    <w:r>
      <w:rPr>
        <w:noProof/>
      </w:rPr>
      <w:drawing>
        <wp:anchor distT="0" distB="0" distL="114300" distR="114300" simplePos="0" relativeHeight="251658240" behindDoc="1" locked="0" layoutInCell="1" allowOverlap="1" wp14:anchorId="1F6FBC29" wp14:editId="27DBCFDC">
          <wp:simplePos x="0" y="0"/>
          <wp:positionH relativeFrom="column">
            <wp:posOffset>-544749</wp:posOffset>
          </wp:positionH>
          <wp:positionV relativeFrom="paragraph">
            <wp:posOffset>-457200</wp:posOffset>
          </wp:positionV>
          <wp:extent cx="1789889" cy="891782"/>
          <wp:effectExtent l="0" t="0" r="0" b="0"/>
          <wp:wrapNone/>
          <wp:docPr id="2443298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29821" name="Picture 244329821"/>
                  <pic:cNvPicPr/>
                </pic:nvPicPr>
                <pic:blipFill>
                  <a:blip r:embed="rId1">
                    <a:extLst>
                      <a:ext uri="{28A0092B-C50C-407E-A947-70E740481C1C}">
                        <a14:useLocalDpi xmlns:a14="http://schemas.microsoft.com/office/drawing/2010/main" val="0"/>
                      </a:ext>
                    </a:extLst>
                  </a:blip>
                  <a:stretch>
                    <a:fillRect/>
                  </a:stretch>
                </pic:blipFill>
                <pic:spPr>
                  <a:xfrm>
                    <a:off x="0" y="0"/>
                    <a:ext cx="1789889" cy="89178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38F"/>
    <w:multiLevelType w:val="multilevel"/>
    <w:tmpl w:val="5A62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811A5"/>
    <w:multiLevelType w:val="multilevel"/>
    <w:tmpl w:val="322C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43617"/>
    <w:multiLevelType w:val="multilevel"/>
    <w:tmpl w:val="BFEA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9D45F0"/>
    <w:multiLevelType w:val="multilevel"/>
    <w:tmpl w:val="A014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36459"/>
    <w:multiLevelType w:val="multilevel"/>
    <w:tmpl w:val="0764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A45465"/>
    <w:multiLevelType w:val="multilevel"/>
    <w:tmpl w:val="C088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26C32"/>
    <w:multiLevelType w:val="multilevel"/>
    <w:tmpl w:val="0C128AC8"/>
    <w:lvl w:ilvl="0">
      <w:start w:val="1"/>
      <w:numFmt w:val="bullet"/>
      <w:lvlText w:val=""/>
      <w:lvlJc w:val="left"/>
      <w:pPr>
        <w:tabs>
          <w:tab w:val="num" w:pos="2790"/>
        </w:tabs>
        <w:ind w:left="2790" w:hanging="360"/>
      </w:pPr>
      <w:rPr>
        <w:rFonts w:ascii="Symbol" w:hAnsi="Symbol" w:hint="default"/>
        <w:sz w:val="20"/>
      </w:rPr>
    </w:lvl>
    <w:lvl w:ilvl="1" w:tentative="1">
      <w:start w:val="1"/>
      <w:numFmt w:val="bullet"/>
      <w:lvlText w:val=""/>
      <w:lvlJc w:val="left"/>
      <w:pPr>
        <w:tabs>
          <w:tab w:val="num" w:pos="3510"/>
        </w:tabs>
        <w:ind w:left="3510" w:hanging="360"/>
      </w:pPr>
      <w:rPr>
        <w:rFonts w:ascii="Symbol" w:hAnsi="Symbol" w:hint="default"/>
        <w:sz w:val="20"/>
      </w:rPr>
    </w:lvl>
    <w:lvl w:ilvl="2" w:tentative="1">
      <w:start w:val="1"/>
      <w:numFmt w:val="bullet"/>
      <w:lvlText w:val=""/>
      <w:lvlJc w:val="left"/>
      <w:pPr>
        <w:tabs>
          <w:tab w:val="num" w:pos="4230"/>
        </w:tabs>
        <w:ind w:left="4230" w:hanging="360"/>
      </w:pPr>
      <w:rPr>
        <w:rFonts w:ascii="Symbol" w:hAnsi="Symbol" w:hint="default"/>
        <w:sz w:val="20"/>
      </w:rPr>
    </w:lvl>
    <w:lvl w:ilvl="3" w:tentative="1">
      <w:start w:val="1"/>
      <w:numFmt w:val="bullet"/>
      <w:lvlText w:val=""/>
      <w:lvlJc w:val="left"/>
      <w:pPr>
        <w:tabs>
          <w:tab w:val="num" w:pos="4950"/>
        </w:tabs>
        <w:ind w:left="4950" w:hanging="360"/>
      </w:pPr>
      <w:rPr>
        <w:rFonts w:ascii="Symbol" w:hAnsi="Symbol" w:hint="default"/>
        <w:sz w:val="20"/>
      </w:rPr>
    </w:lvl>
    <w:lvl w:ilvl="4" w:tentative="1">
      <w:start w:val="1"/>
      <w:numFmt w:val="bullet"/>
      <w:lvlText w:val=""/>
      <w:lvlJc w:val="left"/>
      <w:pPr>
        <w:tabs>
          <w:tab w:val="num" w:pos="5670"/>
        </w:tabs>
        <w:ind w:left="5670" w:hanging="360"/>
      </w:pPr>
      <w:rPr>
        <w:rFonts w:ascii="Symbol" w:hAnsi="Symbol" w:hint="default"/>
        <w:sz w:val="20"/>
      </w:rPr>
    </w:lvl>
    <w:lvl w:ilvl="5" w:tentative="1">
      <w:start w:val="1"/>
      <w:numFmt w:val="bullet"/>
      <w:lvlText w:val=""/>
      <w:lvlJc w:val="left"/>
      <w:pPr>
        <w:tabs>
          <w:tab w:val="num" w:pos="6390"/>
        </w:tabs>
        <w:ind w:left="6390" w:hanging="360"/>
      </w:pPr>
      <w:rPr>
        <w:rFonts w:ascii="Symbol" w:hAnsi="Symbol" w:hint="default"/>
        <w:sz w:val="20"/>
      </w:rPr>
    </w:lvl>
    <w:lvl w:ilvl="6" w:tentative="1">
      <w:start w:val="1"/>
      <w:numFmt w:val="bullet"/>
      <w:lvlText w:val=""/>
      <w:lvlJc w:val="left"/>
      <w:pPr>
        <w:tabs>
          <w:tab w:val="num" w:pos="7110"/>
        </w:tabs>
        <w:ind w:left="7110" w:hanging="360"/>
      </w:pPr>
      <w:rPr>
        <w:rFonts w:ascii="Symbol" w:hAnsi="Symbol" w:hint="default"/>
        <w:sz w:val="20"/>
      </w:rPr>
    </w:lvl>
    <w:lvl w:ilvl="7" w:tentative="1">
      <w:start w:val="1"/>
      <w:numFmt w:val="bullet"/>
      <w:lvlText w:val=""/>
      <w:lvlJc w:val="left"/>
      <w:pPr>
        <w:tabs>
          <w:tab w:val="num" w:pos="7830"/>
        </w:tabs>
        <w:ind w:left="7830" w:hanging="360"/>
      </w:pPr>
      <w:rPr>
        <w:rFonts w:ascii="Symbol" w:hAnsi="Symbol" w:hint="default"/>
        <w:sz w:val="20"/>
      </w:rPr>
    </w:lvl>
    <w:lvl w:ilvl="8" w:tentative="1">
      <w:start w:val="1"/>
      <w:numFmt w:val="bullet"/>
      <w:lvlText w:val=""/>
      <w:lvlJc w:val="left"/>
      <w:pPr>
        <w:tabs>
          <w:tab w:val="num" w:pos="8550"/>
        </w:tabs>
        <w:ind w:left="8550" w:hanging="360"/>
      </w:pPr>
      <w:rPr>
        <w:rFonts w:ascii="Symbol" w:hAnsi="Symbol" w:hint="default"/>
        <w:sz w:val="20"/>
      </w:rPr>
    </w:lvl>
  </w:abstractNum>
  <w:abstractNum w:abstractNumId="7" w15:restartNumberingAfterBreak="0">
    <w:nsid w:val="1E42079C"/>
    <w:multiLevelType w:val="multilevel"/>
    <w:tmpl w:val="2128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892F3E"/>
    <w:multiLevelType w:val="multilevel"/>
    <w:tmpl w:val="35E0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7563C9"/>
    <w:multiLevelType w:val="multilevel"/>
    <w:tmpl w:val="D442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26225D"/>
    <w:multiLevelType w:val="multilevel"/>
    <w:tmpl w:val="0320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F04A0A"/>
    <w:multiLevelType w:val="multilevel"/>
    <w:tmpl w:val="394C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C16361"/>
    <w:multiLevelType w:val="multilevel"/>
    <w:tmpl w:val="A31E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C76C6E"/>
    <w:multiLevelType w:val="multilevel"/>
    <w:tmpl w:val="2F42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A8339E"/>
    <w:multiLevelType w:val="multilevel"/>
    <w:tmpl w:val="C91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BF0B0E"/>
    <w:multiLevelType w:val="multilevel"/>
    <w:tmpl w:val="B2F6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6D17C6"/>
    <w:multiLevelType w:val="multilevel"/>
    <w:tmpl w:val="654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303279"/>
    <w:multiLevelType w:val="multilevel"/>
    <w:tmpl w:val="2280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994BE6"/>
    <w:multiLevelType w:val="multilevel"/>
    <w:tmpl w:val="0A30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4D584D"/>
    <w:multiLevelType w:val="multilevel"/>
    <w:tmpl w:val="A9DE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8A638C"/>
    <w:multiLevelType w:val="multilevel"/>
    <w:tmpl w:val="59C0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7246834">
    <w:abstractNumId w:val="5"/>
  </w:num>
  <w:num w:numId="2" w16cid:durableId="1427187357">
    <w:abstractNumId w:val="20"/>
  </w:num>
  <w:num w:numId="3" w16cid:durableId="1471097900">
    <w:abstractNumId w:val="3"/>
  </w:num>
  <w:num w:numId="4" w16cid:durableId="902525843">
    <w:abstractNumId w:val="12"/>
  </w:num>
  <w:num w:numId="5" w16cid:durableId="1138455199">
    <w:abstractNumId w:val="4"/>
  </w:num>
  <w:num w:numId="6" w16cid:durableId="628123238">
    <w:abstractNumId w:val="1"/>
  </w:num>
  <w:num w:numId="7" w16cid:durableId="1544706968">
    <w:abstractNumId w:val="7"/>
  </w:num>
  <w:num w:numId="8" w16cid:durableId="477378442">
    <w:abstractNumId w:val="8"/>
  </w:num>
  <w:num w:numId="9" w16cid:durableId="1105736993">
    <w:abstractNumId w:val="14"/>
  </w:num>
  <w:num w:numId="10" w16cid:durableId="15078644">
    <w:abstractNumId w:val="15"/>
  </w:num>
  <w:num w:numId="11" w16cid:durableId="77479755">
    <w:abstractNumId w:val="2"/>
  </w:num>
  <w:num w:numId="12" w16cid:durableId="167065149">
    <w:abstractNumId w:val="16"/>
  </w:num>
  <w:num w:numId="13" w16cid:durableId="110173105">
    <w:abstractNumId w:val="18"/>
  </w:num>
  <w:num w:numId="14" w16cid:durableId="1028681361">
    <w:abstractNumId w:val="6"/>
  </w:num>
  <w:num w:numId="15" w16cid:durableId="1654259813">
    <w:abstractNumId w:val="19"/>
  </w:num>
  <w:num w:numId="16" w16cid:durableId="1933003337">
    <w:abstractNumId w:val="11"/>
  </w:num>
  <w:num w:numId="17" w16cid:durableId="105389525">
    <w:abstractNumId w:val="0"/>
  </w:num>
  <w:num w:numId="18" w16cid:durableId="438917464">
    <w:abstractNumId w:val="9"/>
  </w:num>
  <w:num w:numId="19" w16cid:durableId="505174778">
    <w:abstractNumId w:val="13"/>
  </w:num>
  <w:num w:numId="20" w16cid:durableId="226654534">
    <w:abstractNumId w:val="17"/>
  </w:num>
  <w:num w:numId="21" w16cid:durableId="13422444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613"/>
    <w:rsid w:val="0005277E"/>
    <w:rsid w:val="002E77E4"/>
    <w:rsid w:val="002F70FA"/>
    <w:rsid w:val="003070B5"/>
    <w:rsid w:val="0033014F"/>
    <w:rsid w:val="003A6AD0"/>
    <w:rsid w:val="00584187"/>
    <w:rsid w:val="00802F5F"/>
    <w:rsid w:val="0094584E"/>
    <w:rsid w:val="00A708CA"/>
    <w:rsid w:val="00AB3F07"/>
    <w:rsid w:val="00B11613"/>
    <w:rsid w:val="00E52899"/>
    <w:rsid w:val="00F95525"/>
    <w:rsid w:val="00FC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F9A4D9"/>
  <w15:chartTrackingRefBased/>
  <w15:docId w15:val="{6B517AF2-443A-344D-A640-21A8E805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6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6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6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6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6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6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6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6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6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6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6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6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613"/>
    <w:rPr>
      <w:rFonts w:eastAsiaTheme="majorEastAsia" w:cstheme="majorBidi"/>
      <w:color w:val="272727" w:themeColor="text1" w:themeTint="D8"/>
    </w:rPr>
  </w:style>
  <w:style w:type="paragraph" w:styleId="Title">
    <w:name w:val="Title"/>
    <w:basedOn w:val="Normal"/>
    <w:next w:val="Normal"/>
    <w:link w:val="TitleChar"/>
    <w:uiPriority w:val="10"/>
    <w:qFormat/>
    <w:rsid w:val="00B11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613"/>
    <w:pPr>
      <w:spacing w:before="160"/>
      <w:jc w:val="center"/>
    </w:pPr>
    <w:rPr>
      <w:i/>
      <w:iCs/>
      <w:color w:val="404040" w:themeColor="text1" w:themeTint="BF"/>
    </w:rPr>
  </w:style>
  <w:style w:type="character" w:customStyle="1" w:styleId="QuoteChar">
    <w:name w:val="Quote Char"/>
    <w:basedOn w:val="DefaultParagraphFont"/>
    <w:link w:val="Quote"/>
    <w:uiPriority w:val="29"/>
    <w:rsid w:val="00B11613"/>
    <w:rPr>
      <w:i/>
      <w:iCs/>
      <w:color w:val="404040" w:themeColor="text1" w:themeTint="BF"/>
    </w:rPr>
  </w:style>
  <w:style w:type="paragraph" w:styleId="ListParagraph">
    <w:name w:val="List Paragraph"/>
    <w:basedOn w:val="Normal"/>
    <w:uiPriority w:val="34"/>
    <w:qFormat/>
    <w:rsid w:val="00B11613"/>
    <w:pPr>
      <w:ind w:left="720"/>
      <w:contextualSpacing/>
    </w:pPr>
  </w:style>
  <w:style w:type="character" w:styleId="IntenseEmphasis">
    <w:name w:val="Intense Emphasis"/>
    <w:basedOn w:val="DefaultParagraphFont"/>
    <w:uiPriority w:val="21"/>
    <w:qFormat/>
    <w:rsid w:val="00B11613"/>
    <w:rPr>
      <w:i/>
      <w:iCs/>
      <w:color w:val="0F4761" w:themeColor="accent1" w:themeShade="BF"/>
    </w:rPr>
  </w:style>
  <w:style w:type="paragraph" w:styleId="IntenseQuote">
    <w:name w:val="Intense Quote"/>
    <w:basedOn w:val="Normal"/>
    <w:next w:val="Normal"/>
    <w:link w:val="IntenseQuoteChar"/>
    <w:uiPriority w:val="30"/>
    <w:qFormat/>
    <w:rsid w:val="00B11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613"/>
    <w:rPr>
      <w:i/>
      <w:iCs/>
      <w:color w:val="0F4761" w:themeColor="accent1" w:themeShade="BF"/>
    </w:rPr>
  </w:style>
  <w:style w:type="character" w:styleId="IntenseReference">
    <w:name w:val="Intense Reference"/>
    <w:basedOn w:val="DefaultParagraphFont"/>
    <w:uiPriority w:val="32"/>
    <w:qFormat/>
    <w:rsid w:val="00B11613"/>
    <w:rPr>
      <w:b/>
      <w:bCs/>
      <w:smallCaps/>
      <w:color w:val="0F4761" w:themeColor="accent1" w:themeShade="BF"/>
      <w:spacing w:val="5"/>
    </w:rPr>
  </w:style>
  <w:style w:type="character" w:styleId="Hyperlink">
    <w:name w:val="Hyperlink"/>
    <w:basedOn w:val="DefaultParagraphFont"/>
    <w:uiPriority w:val="99"/>
    <w:unhideWhenUsed/>
    <w:rsid w:val="00A708CA"/>
    <w:rPr>
      <w:color w:val="467886" w:themeColor="hyperlink"/>
      <w:u w:val="single"/>
    </w:rPr>
  </w:style>
  <w:style w:type="character" w:styleId="UnresolvedMention">
    <w:name w:val="Unresolved Mention"/>
    <w:basedOn w:val="DefaultParagraphFont"/>
    <w:uiPriority w:val="99"/>
    <w:semiHidden/>
    <w:unhideWhenUsed/>
    <w:rsid w:val="00A708CA"/>
    <w:rPr>
      <w:color w:val="605E5C"/>
      <w:shd w:val="clear" w:color="auto" w:fill="E1DFDD"/>
    </w:rPr>
  </w:style>
  <w:style w:type="paragraph" w:styleId="Header">
    <w:name w:val="header"/>
    <w:basedOn w:val="Normal"/>
    <w:link w:val="HeaderChar"/>
    <w:uiPriority w:val="99"/>
    <w:unhideWhenUsed/>
    <w:rsid w:val="00AB3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F07"/>
  </w:style>
  <w:style w:type="paragraph" w:styleId="Footer">
    <w:name w:val="footer"/>
    <w:basedOn w:val="Normal"/>
    <w:link w:val="FooterChar"/>
    <w:uiPriority w:val="99"/>
    <w:unhideWhenUsed/>
    <w:rsid w:val="00AB3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F07"/>
  </w:style>
  <w:style w:type="character" w:styleId="PageNumber">
    <w:name w:val="page number"/>
    <w:basedOn w:val="DefaultParagraphFont"/>
    <w:uiPriority w:val="99"/>
    <w:semiHidden/>
    <w:unhideWhenUsed/>
    <w:rsid w:val="00330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rcso.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pps.who.int/gb/ebwha/pdf_files/WHA79/A79_24-en.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5a9328-9f44-43fa-ad6c-d16280f03ff8" xsi:nil="true"/>
    <lcf76f155ced4ddcb4097134ff3c332f xmlns="0091eee2-e2de-4697-9c8a-d069f309f7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E53F7CD8C96B4FBB25679FB26F2BC1" ma:contentTypeVersion="19" ma:contentTypeDescription="Create a new document." ma:contentTypeScope="" ma:versionID="5a3905a46d27af6621a8d329eb9e0b22">
  <xsd:schema xmlns:xsd="http://www.w3.org/2001/XMLSchema" xmlns:xs="http://www.w3.org/2001/XMLSchema" xmlns:p="http://schemas.microsoft.com/office/2006/metadata/properties" xmlns:ns2="0091eee2-e2de-4697-9c8a-d069f309f7f7" xmlns:ns3="215a9328-9f44-43fa-ad6c-d16280f03ff8" targetNamespace="http://schemas.microsoft.com/office/2006/metadata/properties" ma:root="true" ma:fieldsID="b083f9640dcfc376c6a02edccbf46d1c" ns2:_="" ns3:_="">
    <xsd:import namespace="0091eee2-e2de-4697-9c8a-d069f309f7f7"/>
    <xsd:import namespace="215a9328-9f44-43fa-ad6c-d16280f03f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1eee2-e2de-4697-9c8a-d069f309f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1baa2e-d44d-456e-ac5a-be863e13ab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a9328-9f44-43fa-ad6c-d16280f03f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806542-b189-4ded-abfd-d1cb6e405c5a}" ma:internalName="TaxCatchAll" ma:showField="CatchAllData" ma:web="215a9328-9f44-43fa-ad6c-d16280f03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6B3AD-92FF-439F-9625-C7B5702CA99F}">
  <ds:schemaRefs>
    <ds:schemaRef ds:uri="http://schemas.microsoft.com/office/2006/metadata/properties"/>
    <ds:schemaRef ds:uri="http://schemas.microsoft.com/office/infopath/2007/PartnerControls"/>
    <ds:schemaRef ds:uri="215a9328-9f44-43fa-ad6c-d16280f03ff8"/>
    <ds:schemaRef ds:uri="0091eee2-e2de-4697-9c8a-d069f309f7f7"/>
  </ds:schemaRefs>
</ds:datastoreItem>
</file>

<file path=customXml/itemProps2.xml><?xml version="1.0" encoding="utf-8"?>
<ds:datastoreItem xmlns:ds="http://schemas.openxmlformats.org/officeDocument/2006/customXml" ds:itemID="{8AA9B797-5C96-48B7-9A34-7467C71121A6}">
  <ds:schemaRefs>
    <ds:schemaRef ds:uri="http://schemas.microsoft.com/sharepoint/v3/contenttype/forms"/>
  </ds:schemaRefs>
</ds:datastoreItem>
</file>

<file path=customXml/itemProps3.xml><?xml version="1.0" encoding="utf-8"?>
<ds:datastoreItem xmlns:ds="http://schemas.openxmlformats.org/officeDocument/2006/customXml" ds:itemID="{A013B915-DD75-43A5-96C7-9FD3441F1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1eee2-e2de-4697-9c8a-d069f309f7f7"/>
    <ds:schemaRef ds:uri="215a9328-9f44-43fa-ad6c-d16280f03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Kremin</dc:creator>
  <cp:keywords/>
  <dc:description/>
  <cp:lastModifiedBy>Beltran de Santiago</cp:lastModifiedBy>
  <cp:revision>2</cp:revision>
  <dcterms:created xsi:type="dcterms:W3CDTF">2026-05-13T16:19:00Z</dcterms:created>
  <dcterms:modified xsi:type="dcterms:W3CDTF">2026-05-13T16:19:00Z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0x0101001EE53F7CD8C96B4FBB25679FB26F2BC1</vt:lpwstr>
  </property>
</Properties>
</file>